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84F2" w14:textId="50886E16" w:rsidR="0034357B" w:rsidRPr="00DD73D2" w:rsidRDefault="00904D58" w:rsidP="0034357B">
      <w:pPr>
        <w:pStyle w:val="BodyText2"/>
      </w:pPr>
      <w:r>
        <w:rPr>
          <w:rFonts w:eastAsia="Times New Roman"/>
          <w:bCs/>
          <w:color w:val="000000"/>
          <w:sz w:val="48"/>
          <w:szCs w:val="48"/>
          <w:lang w:eastAsia="en-CA"/>
        </w:rPr>
        <w:t xml:space="preserve">GTA </w:t>
      </w:r>
      <w:r w:rsidR="0034357B" w:rsidRPr="00DD73D2">
        <w:rPr>
          <w:rFonts w:eastAsia="Times New Roman"/>
          <w:bCs/>
          <w:color w:val="000000"/>
          <w:sz w:val="48"/>
          <w:szCs w:val="48"/>
          <w:lang w:eastAsia="en-CA"/>
        </w:rPr>
        <w:t>— Key Messages</w:t>
      </w:r>
      <w:r w:rsidR="0034357B" w:rsidRPr="00DD73D2">
        <w:t xml:space="preserve"> </w:t>
      </w:r>
    </w:p>
    <w:p w14:paraId="488C0F21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402D4F50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 does the BuildForce Canada Labour Market Information (LMI) system work?</w:t>
      </w:r>
    </w:p>
    <w:p w14:paraId="2548803D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The BuildForce Canada LMI system uses a scenario-based forecasting system to assess future construction labour requirements in the heavy industrial, residential, and non-residential construction markets. </w:t>
      </w:r>
    </w:p>
    <w:p w14:paraId="696C654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E760259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system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tracks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34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occupations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validates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scenario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stakeholders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including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owners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contractors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groups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distilled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into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market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condition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rankings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help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industry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employers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management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their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respective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human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resources</w:t>
      </w:r>
      <w:r w:rsidRPr="00605B05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</w:p>
    <w:p w14:paraId="1044FAF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159BD637" w14:textId="5A87A0E2" w:rsidR="00B75162" w:rsidRDefault="001A64AF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="0034357B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Ontario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tracked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separately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each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region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rather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than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province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whole</w:t>
      </w:r>
      <w:r w:rsidR="001A37F4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: </w:t>
      </w:r>
    </w:p>
    <w:p w14:paraId="2033E2E2" w14:textId="77777777" w:rsidR="00B75162" w:rsidRDefault="00B75162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79F1203A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Central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26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31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); </w:t>
      </w:r>
    </w:p>
    <w:p w14:paraId="4A5C5CC4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Eastern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(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22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and 27 non-residential); </w:t>
      </w:r>
    </w:p>
    <w:p w14:paraId="75ACF8C2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Northern (15 residential and 22 non-residential); </w:t>
      </w:r>
    </w:p>
    <w:p w14:paraId="56B795C1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Southwestern (21 residential and 27 non-residential); and </w:t>
      </w:r>
    </w:p>
    <w:p w14:paraId="78B7F9AD" w14:textId="77777777" w:rsidR="00B75162" w:rsidRDefault="001A37F4" w:rsidP="00B75162">
      <w:pPr>
        <w:pStyle w:val="ListParagraph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 Greater Toronto Area (GTA) (2</w:t>
      </w:r>
      <w:r w:rsidR="0087192A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7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residential and </w:t>
      </w:r>
      <w:r w:rsidR="0087192A"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32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non-residential). </w:t>
      </w:r>
    </w:p>
    <w:p w14:paraId="46C6FA93" w14:textId="77777777" w:rsidR="00B75162" w:rsidRDefault="00B75162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415C4EC3" w14:textId="1257A0F8" w:rsidR="0034357B" w:rsidRPr="00B75162" w:rsidRDefault="001A64AF" w:rsidP="00B7516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cases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where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workforce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samples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too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small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those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trades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are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suppressed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due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limited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statistical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F12F7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reliability</w:t>
      </w:r>
      <w:r w:rsidRPr="00B7516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</w:p>
    <w:p w14:paraId="0D466CCE" w14:textId="77777777" w:rsidR="0034357B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062"/>
        <w:gridCol w:w="806"/>
        <w:gridCol w:w="806"/>
        <w:gridCol w:w="806"/>
        <w:gridCol w:w="1120"/>
        <w:gridCol w:w="1120"/>
        <w:gridCol w:w="1120"/>
        <w:gridCol w:w="1120"/>
      </w:tblGrid>
      <w:tr w:rsidR="00B75162" w:rsidRPr="00DD73D2" w14:paraId="16E253C7" w14:textId="77777777" w:rsidTr="00B75162">
        <w:trPr>
          <w:trHeight w:val="300"/>
        </w:trPr>
        <w:tc>
          <w:tcPr>
            <w:tcW w:w="8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231EC" w14:textId="4E60E8C8" w:rsidR="00B75162" w:rsidRPr="00DD73D2" w:rsidRDefault="00B75162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12F7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Summary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of 2020-2029 Outlook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— Province of Ontario</w:t>
            </w:r>
          </w:p>
          <w:p w14:paraId="3EA9E5D1" w14:textId="771489B6" w:rsidR="00B75162" w:rsidRPr="00DD73D2" w:rsidRDefault="00B75162" w:rsidP="00B751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75162" w:rsidRPr="00DD73D2" w14:paraId="261E2755" w14:textId="77777777" w:rsidTr="00B75162">
        <w:trPr>
          <w:trHeight w:val="285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4C3F3" w14:textId="77777777" w:rsidR="00B75162" w:rsidRPr="00DD73D2" w:rsidRDefault="00B75162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68A5B1AD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A7D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99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43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AA556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Non-residential</w:t>
            </w:r>
          </w:p>
        </w:tc>
      </w:tr>
      <w:tr w:rsidR="0034357B" w:rsidRPr="00DD73D2" w14:paraId="250815F5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2718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Employment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71D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9437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13B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5327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A428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4110</w:t>
            </w:r>
          </w:p>
        </w:tc>
      </w:tr>
      <w:tr w:rsidR="0034357B" w:rsidRPr="00DD73D2" w14:paraId="45EE50BF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1FB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5C71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DE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3E23C1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32B2B711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A9D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C0F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4BB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223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A018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A0F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0C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9D4E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0CA7ED66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D93A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Hiring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3594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86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2B97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2E3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FF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1599F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DD73D2" w14:paraId="4C6F7F0D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2438" w14:textId="77777777" w:rsidR="00457958" w:rsidRPr="00DD73D2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ABB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EF3A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C4F00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41F78F27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FD92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0CD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4E91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D8DF33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37732</w:t>
            </w:r>
          </w:p>
        </w:tc>
      </w:tr>
      <w:tr w:rsidR="0034357B" w:rsidRPr="00DD73D2" w14:paraId="07E3D7D1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3BAD06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Hiring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69A18F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100643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7D7BE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55801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ECC8A55" w14:textId="77777777" w:rsidR="0034357B" w:rsidRPr="00DD73D2" w:rsidRDefault="00457958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45795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44842</w:t>
            </w:r>
          </w:p>
        </w:tc>
      </w:tr>
      <w:tr w:rsidR="0034357B" w:rsidRPr="00DD73D2" w14:paraId="01EF0B6A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26F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D5B5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6F1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775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3C4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982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FE6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D1017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30374ECA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8CE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Recruitment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2A0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C229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7728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38B0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74D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EC2E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57958" w:rsidRPr="00DD73D2" w14:paraId="0DBACC1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6A6E" w14:textId="77777777" w:rsidR="00457958" w:rsidRPr="00DD73D2" w:rsidRDefault="00457958" w:rsidP="004579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F001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86260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1B5F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48528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FFF083" w14:textId="77777777" w:rsidR="00457958" w:rsidRPr="00DD73D2" w:rsidRDefault="00457958" w:rsidP="004579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37732</w:t>
            </w:r>
          </w:p>
        </w:tc>
      </w:tr>
      <w:tr w:rsidR="0034357B" w:rsidRPr="00DD73D2" w14:paraId="70A03C6A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B452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Entrants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471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78866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70B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39685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EA297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39181</w:t>
            </w:r>
          </w:p>
        </w:tc>
      </w:tr>
      <w:tr w:rsidR="0034357B" w:rsidRPr="00DD73D2" w14:paraId="08250884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E3AAC3D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EE7235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A0311F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D89523F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-1449</w:t>
            </w:r>
          </w:p>
        </w:tc>
      </w:tr>
      <w:tr w:rsidR="0034357B" w:rsidRPr="00DD73D2" w14:paraId="7978F4E8" w14:textId="77777777" w:rsidTr="00C076F4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A53" w14:textId="77777777" w:rsidR="0034357B" w:rsidRPr="00DD73D2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B8BB" w14:textId="77777777" w:rsidR="0034357B" w:rsidRPr="00DD73D2" w:rsidRDefault="0034357B" w:rsidP="00C076F4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E22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EF7A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0352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3F20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C66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E43BA" w14:textId="77777777" w:rsidR="0034357B" w:rsidRPr="00DD73D2" w:rsidRDefault="0034357B" w:rsidP="00C076F4">
            <w:pPr>
              <w:jc w:val="center"/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23161A0F" w14:textId="77777777" w:rsidTr="00C076F4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D48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2684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7B1C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9CE5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7C1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682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E656E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40176B" w:rsidRPr="00DD73D2" w14:paraId="60C0D79D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76E9" w14:textId="77777777" w:rsidR="0040176B" w:rsidRPr="00DD73D2" w:rsidRDefault="0040176B" w:rsidP="0040176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8ABB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14383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09B7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7273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A48CF8" w14:textId="77777777" w:rsidR="0040176B" w:rsidRPr="00DD73D2" w:rsidRDefault="0040176B" w:rsidP="0040176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7110</w:t>
            </w:r>
          </w:p>
        </w:tc>
      </w:tr>
      <w:tr w:rsidR="0034357B" w:rsidRPr="00DD73D2" w14:paraId="1379C6A8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93D9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E8AA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7394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8CC3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8843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86E7D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-1449</w:t>
            </w:r>
          </w:p>
        </w:tc>
      </w:tr>
      <w:tr w:rsidR="0034357B" w:rsidRPr="00DD73D2" w14:paraId="6FF374A5" w14:textId="77777777" w:rsidTr="00C076F4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C6C571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Mobility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191528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21777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189E2D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16116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78EB9B" w14:textId="77777777" w:rsidR="0034357B" w:rsidRPr="00DD73D2" w:rsidRDefault="0040176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5661</w:t>
            </w:r>
          </w:p>
        </w:tc>
      </w:tr>
      <w:tr w:rsidR="0034357B" w:rsidRPr="00DD73D2" w14:paraId="3CD749AC" w14:textId="77777777" w:rsidTr="00C076F4">
        <w:trPr>
          <w:trHeight w:val="293"/>
        </w:trPr>
        <w:tc>
          <w:tcPr>
            <w:tcW w:w="896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CEC7E3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*Totals reported are based on actual numbers and may vary slightly from the rounded totals used in the Highlight reports and press releases.</w:t>
            </w:r>
          </w:p>
        </w:tc>
      </w:tr>
      <w:tr w:rsidR="0034357B" w:rsidRPr="00DD73D2" w14:paraId="624741E1" w14:textId="77777777" w:rsidTr="00C076F4">
        <w:trPr>
          <w:trHeight w:val="293"/>
        </w:trPr>
        <w:tc>
          <w:tcPr>
            <w:tcW w:w="8960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22F24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2B751B8" w14:textId="77777777" w:rsidR="0034357B" w:rsidRPr="005B5DE4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2062"/>
        <w:gridCol w:w="806"/>
        <w:gridCol w:w="806"/>
        <w:gridCol w:w="806"/>
        <w:gridCol w:w="1120"/>
        <w:gridCol w:w="1120"/>
        <w:gridCol w:w="1120"/>
        <w:gridCol w:w="1120"/>
      </w:tblGrid>
      <w:tr w:rsidR="00B75162" w:rsidRPr="00DD73D2" w14:paraId="7C0E787B" w14:textId="77777777" w:rsidTr="00B75162">
        <w:trPr>
          <w:trHeight w:val="300"/>
        </w:trPr>
        <w:tc>
          <w:tcPr>
            <w:tcW w:w="89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6DD24" w14:textId="34A5356F" w:rsidR="00B75162" w:rsidRPr="00DD73D2" w:rsidRDefault="00B75162" w:rsidP="00B751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Summary of 2020-2029 Outlook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— </w:t>
            </w:r>
            <w:r w:rsidR="00904D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GTA</w:t>
            </w:r>
          </w:p>
        </w:tc>
      </w:tr>
      <w:tr w:rsidR="00B75162" w:rsidRPr="00DD73D2" w14:paraId="280867BB" w14:textId="77777777" w:rsidTr="00B75162">
        <w:trPr>
          <w:trHeight w:val="285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ED24" w14:textId="4D2EE45B" w:rsidR="00B75162" w:rsidRPr="00DD73D2" w:rsidRDefault="00B75162" w:rsidP="00B7516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 </w:t>
            </w:r>
          </w:p>
        </w:tc>
      </w:tr>
      <w:tr w:rsidR="005F003E" w:rsidRPr="00DD73D2" w14:paraId="26A91E4A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28C1" w14:textId="11754402" w:rsidR="005F003E" w:rsidRPr="00DD73D2" w:rsidRDefault="005F003E" w:rsidP="005F00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85A52" w14:textId="627590A7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DA5F9" w14:textId="2535E98F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Residential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BF5256A" w14:textId="64B91EA3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Non-residential</w:t>
            </w:r>
          </w:p>
        </w:tc>
      </w:tr>
      <w:tr w:rsidR="005F003E" w:rsidRPr="00DD73D2" w14:paraId="787BC434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BBB00" w14:textId="23B91737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Employment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1B8BC" w14:textId="6C12708A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7591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8AD95" w14:textId="7BC44CE3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8240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080A31" w14:textId="4298B73F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-649</w:t>
            </w:r>
          </w:p>
        </w:tc>
      </w:tr>
      <w:tr w:rsidR="005F003E" w:rsidRPr="00DD73D2" w14:paraId="12997D1C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2E6E4" w14:textId="51D8F268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Force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0972A" w14:textId="2B5A1EC2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11563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F408" w14:textId="26433F19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10114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A5C594" w14:textId="18059F2F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1449</w:t>
            </w:r>
          </w:p>
        </w:tc>
      </w:tr>
      <w:tr w:rsidR="005F003E" w:rsidRPr="00DD73D2" w14:paraId="1388BDE3" w14:textId="77777777" w:rsidTr="0075798E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5372" w14:textId="06F225FF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AFFB4" w14:textId="77777777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05437" w14:textId="77777777" w:rsidR="005F003E" w:rsidRPr="00DD73D2" w:rsidRDefault="005F003E" w:rsidP="005F0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B81D3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25D7" w14:textId="09A24D6C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66B3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8A057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C161B" w14:textId="3280D725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F003E" w:rsidRPr="00DD73D2" w14:paraId="35B44284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96A27" w14:textId="60CA6D0C" w:rsidR="005F003E" w:rsidRPr="00DD73D2" w:rsidRDefault="005F003E" w:rsidP="005F00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Hiring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A5F51" w14:textId="77777777" w:rsidR="005F003E" w:rsidRPr="00DD73D2" w:rsidRDefault="005F003E" w:rsidP="005F00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777BA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8D11E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B4EBB" w14:textId="6CA6D2DD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25E4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25A04" w14:textId="56AB4DC3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F003E" w:rsidRPr="00DD73D2" w14:paraId="10497CF4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88D7B" w14:textId="65921E3A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8851E" w14:textId="26642C0F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11563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7BD24" w14:textId="191F188F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10114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5007D6" w14:textId="2025DE45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1449</w:t>
            </w:r>
          </w:p>
        </w:tc>
      </w:tr>
      <w:tr w:rsidR="005F003E" w:rsidRPr="00DD73D2" w14:paraId="393B33C7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B58CE" w14:textId="32FF51C6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AD191" w14:textId="3DCCED36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40665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95E5" w14:textId="2E905C82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23971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915373" w14:textId="08CA8533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16694</w:t>
            </w:r>
          </w:p>
        </w:tc>
      </w:tr>
      <w:tr w:rsidR="005F003E" w:rsidRPr="00DD73D2" w14:paraId="4BFE040F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F3E1A55" w14:textId="1A52F874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Hiring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C84FBD4" w14:textId="64CDE5A2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52228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4BDE2C3" w14:textId="7DA7BEC3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34085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53B1184C" w14:textId="7EDE25DD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18143</w:t>
            </w:r>
          </w:p>
        </w:tc>
      </w:tr>
      <w:tr w:rsidR="005F003E" w:rsidRPr="00DD73D2" w14:paraId="2DBAE546" w14:textId="77777777" w:rsidTr="0075798E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E953A" w14:textId="08A98745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FD3D8" w14:textId="77777777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EF662" w14:textId="77777777" w:rsidR="005F003E" w:rsidRPr="00DD73D2" w:rsidRDefault="005F003E" w:rsidP="005F0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F038B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9B60" w14:textId="04D324F9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8E56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158A1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1D4BB" w14:textId="333E0846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F003E" w:rsidRPr="00DD73D2" w14:paraId="78B2473E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A7203" w14:textId="0FD8C39B" w:rsidR="005F003E" w:rsidRPr="00DD73D2" w:rsidRDefault="005F003E" w:rsidP="005F00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Recruitment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4D726" w14:textId="77777777" w:rsidR="005F003E" w:rsidRPr="00DD73D2" w:rsidRDefault="005F003E" w:rsidP="005F00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EA29A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0A09A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DDF55" w14:textId="56F4576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D90E1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BC8C7" w14:textId="68155760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F003E" w:rsidRPr="00DD73D2" w14:paraId="433C7CFB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40444" w14:textId="45206713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Retirements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49087" w14:textId="5200D9F5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40665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94D21" w14:textId="44F198A9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23971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780CCC6" w14:textId="0BA4084A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16694</w:t>
            </w:r>
          </w:p>
        </w:tc>
      </w:tr>
      <w:tr w:rsidR="005F003E" w:rsidRPr="00DD73D2" w14:paraId="4380899E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373BE" w14:textId="2FDAABB1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Entrants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BE93B" w14:textId="657E9D0E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32636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F78E4" w14:textId="76AE2FD1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16838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68DA85B" w14:textId="646C1026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15798</w:t>
            </w:r>
          </w:p>
        </w:tc>
      </w:tr>
      <w:tr w:rsidR="005F003E" w:rsidRPr="00DD73D2" w14:paraId="486E688B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2C5514" w14:textId="4798FC26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0C8C293" w14:textId="5F463FC2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8029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0DD40DE" w14:textId="5FB83491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7133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30E58B8" w14:textId="0F16DECE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896</w:t>
            </w:r>
          </w:p>
        </w:tc>
      </w:tr>
      <w:tr w:rsidR="005F003E" w:rsidRPr="00DD73D2" w14:paraId="3F287521" w14:textId="77777777" w:rsidTr="0075798E">
        <w:trPr>
          <w:trHeight w:val="285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6896" w14:textId="4D22D5DD" w:rsidR="005F003E" w:rsidRPr="00DD73D2" w:rsidRDefault="005F003E" w:rsidP="005F003E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1A9B" w14:textId="77777777" w:rsidR="005F003E" w:rsidRPr="00DD73D2" w:rsidRDefault="005F003E" w:rsidP="005F003E">
            <w:pPr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9D87" w14:textId="77777777" w:rsidR="005F003E" w:rsidRPr="00DD73D2" w:rsidRDefault="005F003E" w:rsidP="005F00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F0934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0DC78" w14:textId="15C5F0E5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D73D2"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6B37F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0E90C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9705E" w14:textId="65B72DB2" w:rsidR="005F003E" w:rsidRPr="00DD73D2" w:rsidRDefault="005F003E" w:rsidP="005F003E">
            <w:pPr>
              <w:jc w:val="center"/>
              <w:rPr>
                <w:rFonts w:ascii="Arial Nova Cond" w:eastAsia="Times New Roman" w:hAnsi="Arial Nova Cond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F003E" w:rsidRPr="00DD73D2" w14:paraId="59DAD599" w14:textId="77777777" w:rsidTr="0075798E">
        <w:trPr>
          <w:trHeight w:val="300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24890" w14:textId="03650D50" w:rsidR="005F003E" w:rsidRPr="00DD73D2" w:rsidRDefault="005F003E" w:rsidP="005F00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Mobility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67110" w14:textId="77777777" w:rsidR="005F003E" w:rsidRPr="00DD73D2" w:rsidRDefault="005F003E" w:rsidP="005F00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47DC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D7C9E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28DFE" w14:textId="76C9F2A4" w:rsidR="005F003E" w:rsidRPr="00DD73D2" w:rsidRDefault="005F003E" w:rsidP="00C8135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E25E4" w14:textId="77777777" w:rsidR="005F003E" w:rsidRPr="00DD73D2" w:rsidRDefault="005F003E" w:rsidP="005F00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C03C6C" w14:textId="078FAE4F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5F003E" w:rsidRPr="00DD73D2" w14:paraId="6222FFF0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2AAB" w14:textId="16B09338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Labour</w:t>
            </w:r>
            <w:proofErr w:type="spellEnd"/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Force Growth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C507" w14:textId="6F97B6DE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11563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96E64" w14:textId="436A8D1D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10114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9FCCBCB" w14:textId="4990B329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1449</w:t>
            </w:r>
          </w:p>
        </w:tc>
      </w:tr>
      <w:tr w:rsidR="005F003E" w:rsidRPr="00DD73D2" w14:paraId="089B9191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1882E" w14:textId="649B4515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Recruitment Gap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23F6D" w14:textId="6CB0A599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8029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81609" w14:textId="240EA30D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7133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921E27" w14:textId="5BAB27FA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896</w:t>
            </w:r>
          </w:p>
        </w:tc>
      </w:tr>
      <w:tr w:rsidR="005F003E" w:rsidRPr="00DD73D2" w14:paraId="1A0AACE8" w14:textId="77777777" w:rsidTr="0075798E">
        <w:trPr>
          <w:trHeight w:val="285"/>
        </w:trPr>
        <w:tc>
          <w:tcPr>
            <w:tcW w:w="28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2C2185" w14:textId="63292C2D" w:rsidR="005F003E" w:rsidRPr="00DD73D2" w:rsidRDefault="005F003E" w:rsidP="005F003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Mobility Requirement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F0ECDD8" w14:textId="7112CA44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19592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5FBD233" w14:textId="40CF7DC1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17247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</w:tcPr>
          <w:p w14:paraId="38BBDC99" w14:textId="02BF8D74" w:rsidR="005F003E" w:rsidRPr="00DD73D2" w:rsidRDefault="005F003E" w:rsidP="005F003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2345</w:t>
            </w:r>
          </w:p>
        </w:tc>
      </w:tr>
      <w:tr w:rsidR="00BF49F9" w:rsidRPr="00DD73D2" w14:paraId="2E582C2F" w14:textId="77777777" w:rsidTr="00C076F4">
        <w:trPr>
          <w:trHeight w:val="293"/>
        </w:trPr>
        <w:tc>
          <w:tcPr>
            <w:tcW w:w="8960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97F329" w14:textId="77777777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*Totals reported are based on actual numbers and may vary slightly from the rounded totals used in the Highlight reports and press releases.</w:t>
            </w:r>
          </w:p>
        </w:tc>
      </w:tr>
      <w:tr w:rsidR="00BF49F9" w:rsidRPr="00DD73D2" w14:paraId="34180CC5" w14:textId="77777777" w:rsidTr="00CB37AC">
        <w:trPr>
          <w:trHeight w:val="293"/>
        </w:trPr>
        <w:tc>
          <w:tcPr>
            <w:tcW w:w="8960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7A3DB13" w14:textId="77777777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BF49F9" w:rsidRPr="00DD73D2" w14:paraId="5BB5005A" w14:textId="77777777" w:rsidTr="00C076F4">
        <w:trPr>
          <w:trHeight w:val="293"/>
        </w:trPr>
        <w:tc>
          <w:tcPr>
            <w:tcW w:w="896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AEA322" w14:textId="77777777" w:rsidR="00BF49F9" w:rsidRPr="00DD73D2" w:rsidRDefault="00BF49F9" w:rsidP="00BF49F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49DB74F4" w14:textId="77777777" w:rsidR="00504AAD" w:rsidRPr="005B5DE4" w:rsidRDefault="00504AAD" w:rsidP="00504AA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</w:p>
    <w:p w14:paraId="50E78494" w14:textId="2E1EB816" w:rsidR="0034357B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F2D2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expected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OVERALL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904D58"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GTA</w:t>
      </w:r>
      <w:r w:rsidR="00904D5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proofErr w:type="spellEnd"/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demand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3F2D2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end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2020-2029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provincial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6B88DDFC" w14:textId="7CB8FD03" w:rsidR="005F003E" w:rsidRDefault="005F003E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3703296E" w14:textId="046C915D" w:rsidR="005F003E" w:rsidRDefault="005F003E" w:rsidP="005F0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employment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is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set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push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higher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 2020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due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high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numbers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of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proposed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ongoing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major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project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region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well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rebound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new-housing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activity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C8135F" w:rsidRPr="00C8135F">
        <w:rPr>
          <w:rFonts w:ascii="Arial" w:hAnsi="Arial" w:cs="Arial"/>
          <w:bCs/>
          <w:color w:val="000000" w:themeColor="text1"/>
          <w:sz w:val="22"/>
          <w:szCs w:val="22"/>
        </w:rPr>
        <w:t>ambitious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schedule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</w:rPr>
        <w:t>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for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several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large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infrastructure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projects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and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ongoing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population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growth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will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drive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further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increases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in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employment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to</w:t>
      </w:r>
      <w:r w:rsidR="003F2D2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3F2D2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</w:rPr>
        <w:t>new</w:t>
      </w:r>
      <w:r w:rsidR="003F2D28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peak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</w:rPr>
        <w:t>in 2026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4D0FAFD0" w14:textId="6DD89062" w:rsidR="005F003E" w:rsidRDefault="005F003E" w:rsidP="005F0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62431B8" w14:textId="306BCF89" w:rsidR="005F003E" w:rsidRDefault="005F003E" w:rsidP="005F003E"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C8135F">
        <w:rPr>
          <w:rFonts w:ascii="Arial" w:hAnsi="Arial" w:cs="Arial"/>
          <w:b/>
          <w:color w:val="000000" w:themeColor="text1"/>
          <w:sz w:val="22"/>
          <w:szCs w:val="22"/>
        </w:rPr>
        <w:t>Residential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Strong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rates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of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immigration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region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low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vacancy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rates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will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sustain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pressure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on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housing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market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Multi-unit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will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continue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dominant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housing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type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with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apartment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expected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remain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strong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though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emand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for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single-detached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homes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should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rebound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 2020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Over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decade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residential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investment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is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expected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grow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by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20%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or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average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about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2%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annually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</w:p>
    <w:p w14:paraId="0FA81DB3" w14:textId="0DFA9AE9" w:rsidR="005F003E" w:rsidRDefault="005F003E" w:rsidP="005F003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42D8A7A" w14:textId="2590CCC7" w:rsidR="005F003E" w:rsidRPr="005F003E" w:rsidRDefault="005F003E" w:rsidP="003F2D28"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C8135F">
        <w:rPr>
          <w:rFonts w:ascii="Arial" w:hAnsi="Arial" w:cs="Arial"/>
          <w:b/>
          <w:color w:val="000000" w:themeColor="text1"/>
          <w:sz w:val="22"/>
          <w:szCs w:val="22"/>
        </w:rPr>
        <w:t>Non-residential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Public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transportation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hea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th-sector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investments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utility-sector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renewal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projects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ha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ve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emerged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as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dominant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driver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of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construction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demand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region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overlap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of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three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LRT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projects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nuclear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refurbishment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project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,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other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major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infrastructure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investments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should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propel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non-residential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employment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to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new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plateau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by 2026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Healthcare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infrastructure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investments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and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commercial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projects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will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drive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additional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growth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in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the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ICI</w:t>
      </w:r>
      <w:r w:rsidRPr="005F003E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building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sector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during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this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="003F2D28" w:rsidRPr="00C8135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period</w:t>
      </w:r>
      <w:r w:rsidR="003F2D28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. </w:t>
      </w:r>
    </w:p>
    <w:p w14:paraId="1CCBD582" w14:textId="77777777" w:rsidR="003F2D28" w:rsidRDefault="003F2D28">
      <w:pPr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br w:type="page"/>
      </w:r>
    </w:p>
    <w:p w14:paraId="25DED8E5" w14:textId="72D97E36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lastRenderedPageBreak/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are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expected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retire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5A3C02"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in</w:t>
      </w:r>
      <w:r w:rsidR="00904D58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904D58"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</w:t>
      </w:r>
      <w:r w:rsidR="005A3C02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904D58" w:rsidRPr="003F2D28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GTA</w:t>
      </w:r>
      <w:r w:rsidR="00904D58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during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scenario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period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71338CC6" w14:textId="3F28C54A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8135F">
        <w:rPr>
          <w:rFonts w:ascii="Arial" w:hAnsi="Arial" w:cs="Arial"/>
          <w:color w:val="000000" w:themeColor="text1"/>
          <w:sz w:val="22"/>
          <w:szCs w:val="22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</w:rPr>
        <w:t>40,700</w:t>
      </w:r>
      <w:r w:rsidR="008D35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workers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</w:rPr>
        <w:t>40,665</w:t>
      </w:r>
      <w:r w:rsidR="003F2D28">
        <w:rPr>
          <w:rFonts w:ascii="Arial" w:hAnsi="Arial" w:cs="Arial"/>
          <w:color w:val="000000" w:themeColor="text1"/>
          <w:sz w:val="22"/>
          <w:szCs w:val="22"/>
        </w:rPr>
        <w:t>)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</w:rPr>
        <w:t>23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%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F2D28">
        <w:rPr>
          <w:rFonts w:ascii="Arial" w:hAnsi="Arial" w:cs="Arial"/>
          <w:color w:val="000000" w:themeColor="text1"/>
          <w:sz w:val="22"/>
          <w:szCs w:val="22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881DE42" w14:textId="77777777" w:rsidR="00CB687B" w:rsidRDefault="00CB68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</w:p>
    <w:p w14:paraId="32039CB4" w14:textId="2ED0BA25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many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young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workers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might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replace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them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  <w:t>?</w:t>
      </w:r>
    </w:p>
    <w:p w14:paraId="66935FD2" w14:textId="01851E49" w:rsidR="005A3C0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</w:pP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About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32,600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(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actual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number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32,636</w:t>
      </w:r>
      <w:r w:rsidR="00AC4B1D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)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new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entrants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aged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30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younger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from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local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population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should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available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based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historical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data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.</w:t>
      </w:r>
      <w:r w:rsidR="005A3C02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recruitment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gap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of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8,000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(</w:t>
      </w:r>
      <w:r w:rsidR="00C8135F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actual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C8135F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number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C8135F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8,029</w:t>
      </w:r>
      <w:r w:rsid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)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workers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expected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631C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emerge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that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when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coupled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with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demand-driven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proofErr w:type="spellStart"/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labour</w:t>
      </w:r>
      <w:proofErr w:type="spellEnd"/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force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growth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will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require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industry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recruit</w:t>
      </w:r>
      <w:r w:rsidR="00C631C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C631CA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an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additional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20,000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(</w:t>
      </w:r>
      <w:r w:rsidR="00C8135F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actual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C8135F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number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C8135F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is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19,592</w:t>
      </w:r>
      <w:r w:rsid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)</w:t>
      </w:r>
      <w:r w:rsidR="00C8135F" w:rsidRPr="00605B05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workers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to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631C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industry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from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631CA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region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,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province,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industry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or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from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outside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the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 xml:space="preserve"> </w:t>
      </w:r>
      <w:r w:rsidR="003F2D28" w:rsidRPr="00C8135F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country</w:t>
      </w:r>
      <w:r w:rsidR="003F2D28"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  <w:t>.</w:t>
      </w:r>
      <w:bookmarkStart w:id="0" w:name="_GoBack"/>
      <w:bookmarkEnd w:id="0"/>
    </w:p>
    <w:p w14:paraId="057D47CB" w14:textId="77777777" w:rsidR="00AC4B1D" w:rsidRDefault="00AC4B1D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  <w:lang w:val="en-US"/>
        </w:rPr>
      </w:pPr>
    </w:p>
    <w:p w14:paraId="71FC7466" w14:textId="1053B818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="00784BE7"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Ontario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meet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its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construction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needs</w:t>
      </w:r>
      <w:r w:rsidRPr="00605B0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7D0A5D85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Meeting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current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future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demands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require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a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continuation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industry’s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collaboration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with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government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educational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institutions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bookmarkStart w:id="1" w:name="_Hlk31195053"/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industry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providers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scale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up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recruitment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and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training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capacity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. </w:t>
      </w:r>
      <w:bookmarkEnd w:id="1"/>
    </w:p>
    <w:p w14:paraId="11B2A9E3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u w:color="0000FF"/>
        </w:rPr>
      </w:pPr>
    </w:p>
    <w:p w14:paraId="0E2C129B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Worker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mobility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be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important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as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will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engaging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large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numbers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young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people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to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AC4B1D">
        <w:rPr>
          <w:rFonts w:ascii="Arial" w:hAnsi="Arial" w:cs="Arial"/>
          <w:color w:val="000000" w:themeColor="text1"/>
          <w:sz w:val="22"/>
          <w:szCs w:val="22"/>
          <w:u w:color="0000FF"/>
        </w:rPr>
        <w:t>enter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construction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labour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force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,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especially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in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face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record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u w:color="0000FF"/>
        </w:rPr>
        <w:t>retirements</w:t>
      </w:r>
      <w:r w:rsidRPr="00605B05">
        <w:rPr>
          <w:rFonts w:ascii="Arial" w:hAnsi="Arial" w:cs="Arial"/>
          <w:color w:val="000000" w:themeColor="text1"/>
          <w:sz w:val="22"/>
          <w:szCs w:val="22"/>
          <w:u w:color="0000FF"/>
        </w:rPr>
        <w:t>.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14:paraId="4BD26D12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2AF1E2F" w14:textId="77777777" w:rsidR="0034357B" w:rsidRPr="00605B05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Increased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recruitment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individuals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from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groups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traditionally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under-represented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could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C8135F">
        <w:rPr>
          <w:rFonts w:ascii="Arial" w:hAnsi="Arial" w:cs="Arial"/>
          <w:color w:val="000000" w:themeColor="text1"/>
          <w:sz w:val="22"/>
          <w:szCs w:val="22"/>
          <w:lang w:val="en-US"/>
        </w:rPr>
        <w:t>help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05B05">
        <w:rPr>
          <w:rFonts w:ascii="Arial" w:hAnsi="Arial" w:cs="Arial"/>
          <w:color w:val="000000" w:themeColor="text1"/>
          <w:sz w:val="22"/>
          <w:szCs w:val="22"/>
        </w:rPr>
        <w:t>address future labour force needs</w:t>
      </w:r>
      <w:r w:rsidRPr="00605B05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7325D853" w14:textId="77777777" w:rsidR="0034357B" w:rsidRDefault="0034357B" w:rsidP="0034357B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59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720"/>
        <w:gridCol w:w="720"/>
        <w:gridCol w:w="720"/>
      </w:tblGrid>
      <w:tr w:rsidR="0034357B" w:rsidRPr="00DD73D2" w14:paraId="3035C018" w14:textId="77777777" w:rsidTr="00C076F4">
        <w:trPr>
          <w:trHeight w:val="300"/>
        </w:trPr>
        <w:tc>
          <w:tcPr>
            <w:tcW w:w="720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CD89" w14:textId="77777777" w:rsidR="0034357B" w:rsidRPr="00DD73D2" w:rsidRDefault="0034357B" w:rsidP="00C076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Under-represented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Groups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in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the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Construction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Labour</w:t>
            </w:r>
            <w:r w:rsidRPr="00DD73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977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US"/>
              </w:rPr>
              <w:t>Force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AB1B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657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01EA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52A04174" w14:textId="77777777" w:rsidTr="00C076F4">
        <w:trPr>
          <w:trHeight w:val="285"/>
        </w:trPr>
        <w:tc>
          <w:tcPr>
            <w:tcW w:w="15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2C1E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34B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F8E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EF5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4B6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4D6F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AE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CD4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E59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582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2E3D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4F9" w14:textId="77777777" w:rsidR="0034357B" w:rsidRPr="00DD73D2" w:rsidRDefault="0034357B" w:rsidP="00C076F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E93F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34357B" w:rsidRPr="00DD73D2" w14:paraId="05D29ADC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D23C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327F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FECA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Offsite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5E42" w14:textId="77777777" w:rsidR="0034357B" w:rsidRPr="00D9779F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Total 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(%)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B967" w14:textId="77777777" w:rsidR="0034357B" w:rsidRPr="00D9779F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O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ns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82A3CC" w14:textId="77777777" w:rsidR="0034357B" w:rsidRPr="00D9779F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Tot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al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(%)</w:t>
            </w:r>
          </w:p>
        </w:tc>
      </w:tr>
      <w:tr w:rsidR="0034357B" w:rsidRPr="00DD73D2" w14:paraId="15074BE3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A3E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L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a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bou</w:t>
            </w:r>
            <w:r w:rsidRPr="00D9779F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r Forc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387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521400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C86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126800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201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24.3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73F7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394600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94A193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75.7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6D2C601C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01E1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Women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FA57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65600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C121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50400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13EA" w14:textId="77777777" w:rsidR="0034357B" w:rsidRPr="00DD73D2" w:rsidRDefault="00C44E60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39.</w:t>
            </w:r>
            <w:r w:rsidR="005A47B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B47A" w14:textId="77777777" w:rsidR="0034357B" w:rsidRPr="00DD73D2" w:rsidRDefault="005A47BC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15200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7D763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3.</w:t>
            </w:r>
            <w:r w:rsidR="005A47BC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65248945" w14:textId="77777777" w:rsidTr="00C076F4">
        <w:trPr>
          <w:trHeight w:val="285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0D5A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Indigenous People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737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14078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2393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2816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99E3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2</w:t>
            </w:r>
            <w:r w:rsidR="009D57A6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915A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11262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17F526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80</w:t>
            </w:r>
            <w:r w:rsidR="0034357B"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%</w:t>
            </w:r>
          </w:p>
        </w:tc>
      </w:tr>
      <w:tr w:rsidR="0034357B" w:rsidRPr="00DD73D2" w14:paraId="5170EF90" w14:textId="77777777" w:rsidTr="00C076F4">
        <w:trPr>
          <w:trHeight w:val="300"/>
        </w:trPr>
        <w:tc>
          <w:tcPr>
            <w:tcW w:w="28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0D6F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New Canadians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2E59" w14:textId="77777777" w:rsidR="0034357B" w:rsidRPr="00DD73D2" w:rsidRDefault="009D57A6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135564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C9B2" w14:textId="77777777" w:rsidR="0034357B" w:rsidRPr="00DD73D2" w:rsidRDefault="0034357B" w:rsidP="00C076F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A8C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9E83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78B97E" w14:textId="77777777" w:rsidR="0034357B" w:rsidRPr="00DD73D2" w:rsidRDefault="0034357B" w:rsidP="00C07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4357B" w:rsidRPr="00DD73D2" w14:paraId="376E96AD" w14:textId="77777777" w:rsidTr="00C076F4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34A84" w14:textId="77777777" w:rsidR="0034357B" w:rsidRPr="00DD73D2" w:rsidRDefault="0034357B" w:rsidP="00C076F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D73D2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* Percentages reported are based on actual totals, whereas numbers reported have been rounded.</w:t>
            </w:r>
          </w:p>
        </w:tc>
      </w:tr>
    </w:tbl>
    <w:p w14:paraId="289733E8" w14:textId="77777777" w:rsidR="005A47BC" w:rsidRDefault="005A47BC" w:rsidP="0034357B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1402C38E" w14:textId="77777777" w:rsidR="0034357B" w:rsidRPr="005A47BC" w:rsidRDefault="0034357B" w:rsidP="0034357B">
      <w:pPr>
        <w:rPr>
          <w:rFonts w:ascii="Arial" w:hAnsi="Arial" w:cs="Arial"/>
          <w:b/>
          <w:color w:val="000000" w:themeColor="text1"/>
          <w:sz w:val="22"/>
          <w:szCs w:val="22"/>
          <w:u w:color="0000FF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enough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4914E59E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2" w:name="_Hlk31122493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Our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analysis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suggests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while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apprentices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fallen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has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not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kept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pace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with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found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this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case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more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often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smaller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non-compulsory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5A47B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bookmarkEnd w:id="2"/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Across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Ontario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boilermakers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bricklayers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heavy-duty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equipment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technicians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industrial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electricians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,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and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sz w:val="22"/>
          <w:szCs w:val="22"/>
          <w:u w:color="0070C0"/>
          <w:lang w:val="en-US"/>
        </w:rPr>
        <w:t>welders</w:t>
      </w:r>
      <w:r w:rsidR="005A47BC" w:rsidRPr="005A47BC">
        <w:rPr>
          <w:rFonts w:ascii="Arial" w:hAnsi="Arial" w:cs="Arial"/>
          <w:sz w:val="22"/>
          <w:szCs w:val="22"/>
          <w:u w:color="0070C0"/>
          <w:lang w:val="en-US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may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be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5A3C02">
        <w:rPr>
          <w:rFonts w:ascii="Arial" w:hAnsi="Arial" w:cs="Arial"/>
          <w:color w:val="000000" w:themeColor="text1"/>
          <w:sz w:val="22"/>
          <w:szCs w:val="22"/>
        </w:rPr>
        <w:t>at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higher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A47BC" w:rsidRPr="00734595">
        <w:rPr>
          <w:rFonts w:ascii="Arial" w:hAnsi="Arial" w:cs="Arial"/>
          <w:color w:val="000000" w:themeColor="text1"/>
          <w:sz w:val="22"/>
          <w:szCs w:val="22"/>
        </w:rPr>
        <w:t>risk</w:t>
      </w:r>
      <w:r w:rsidR="005A47BC" w:rsidRPr="005A47B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B9BFBB" w14:textId="77777777" w:rsidR="005A47BC" w:rsidRPr="005A47BC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DFD40E7" w14:textId="77777777" w:rsidR="0034357B" w:rsidRP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How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did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arrive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at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your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estimate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of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future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needs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for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</w:t>
      </w:r>
      <w:r w:rsidRPr="005A47BC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47AF9AD6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calculated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holding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certificate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qualification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5A3C02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provincial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related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estimated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these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individuals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how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many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likely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going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need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given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employment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outlook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number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retire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next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10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years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applied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retirement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rates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recent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registration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completion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trend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information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determine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each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listed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trades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training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level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sufficient</w:t>
      </w:r>
      <w:proofErr w:type="gramEnd"/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maintain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current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share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certificate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holders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36D3D112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708646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Does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this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number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take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into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account</w:t>
      </w:r>
      <w:proofErr w:type="gramEnd"/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anticipated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growth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in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province</w:t>
      </w:r>
      <w:r w:rsidRPr="00DD73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?</w:t>
      </w:r>
    </w:p>
    <w:p w14:paraId="18007420" w14:textId="77777777" w:rsidR="005A47BC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>Yes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Construction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very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industry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 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Anticipating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experienced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journeypersons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driven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major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planned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avoiding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cyclical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mismatches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between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supply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demand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skilled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workers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primary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objective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this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approach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473A5CC" w14:textId="77777777" w:rsidR="005A47BC" w:rsidRPr="00DD73D2" w:rsidRDefault="005A47BC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3AC6976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What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is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purpose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of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BuildForce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Canada’s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Forecasts</w:t>
      </w: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?</w:t>
      </w:r>
    </w:p>
    <w:p w14:paraId="4856B25A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It’s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planning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tool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that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used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plan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future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labour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market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requirements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However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scenario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during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the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forecast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period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can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subject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to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change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based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on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economic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conditions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available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projects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other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734595">
        <w:rPr>
          <w:rFonts w:ascii="Arial" w:hAnsi="Arial" w:cs="Arial"/>
          <w:color w:val="000000" w:themeColor="text1"/>
          <w:sz w:val="22"/>
          <w:szCs w:val="22"/>
          <w:lang w:val="en-US"/>
        </w:rPr>
        <w:t>factors</w:t>
      </w: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41050268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83A3635" w14:textId="77777777" w:rsidR="0034357B" w:rsidRPr="00DD73D2" w:rsidRDefault="0034357B" w:rsidP="003435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DD73D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How does BuildForce Canada create its Labour Market Forecasts?</w:t>
      </w:r>
    </w:p>
    <w:p w14:paraId="33101B7F" w14:textId="21706A80" w:rsidR="00C076F4" w:rsidRDefault="0034357B" w:rsidP="007345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D73D2">
        <w:rPr>
          <w:rFonts w:ascii="Arial" w:hAnsi="Arial" w:cs="Arial"/>
          <w:color w:val="000000" w:themeColor="text1"/>
          <w:sz w:val="22"/>
          <w:szCs w:val="22"/>
          <w:lang w:val="en-US"/>
        </w:rPr>
        <w:t>Through consultations with provincial construction and maintenance stakeholders, examining current trends, looking at current and historical data and examining project pipelines.</w:t>
      </w:r>
      <w:r w:rsidR="00D3045E" w:rsidRPr="00DD73D2">
        <w:rPr>
          <w:rFonts w:ascii="Arial" w:hAnsi="Arial" w:cs="Arial"/>
          <w:color w:val="FF0000"/>
          <w:sz w:val="22"/>
          <w:szCs w:val="22"/>
        </w:rPr>
        <w:t xml:space="preserve"> </w:t>
      </w:r>
    </w:p>
    <w:sectPr w:rsidR="00C076F4" w:rsidSect="00C076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E84"/>
    <w:multiLevelType w:val="hybridMultilevel"/>
    <w:tmpl w:val="FDF2DB74"/>
    <w:lvl w:ilvl="0" w:tplc="6E04F1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2AF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8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B237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CBB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38C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A2A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FE9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65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55F0"/>
    <w:multiLevelType w:val="hybridMultilevel"/>
    <w:tmpl w:val="25DE13B0"/>
    <w:lvl w:ilvl="0" w:tplc="85BC1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CB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C8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E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C8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A2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5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AC6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486E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AA4"/>
    <w:multiLevelType w:val="hybridMultilevel"/>
    <w:tmpl w:val="E940E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D3008"/>
    <w:multiLevelType w:val="hybridMultilevel"/>
    <w:tmpl w:val="46242D50"/>
    <w:lvl w:ilvl="0" w:tplc="A0F42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02940">
      <w:numFmt w:val="none"/>
      <w:lvlText w:val=""/>
      <w:lvlJc w:val="left"/>
      <w:pPr>
        <w:tabs>
          <w:tab w:val="num" w:pos="360"/>
        </w:tabs>
      </w:pPr>
    </w:lvl>
    <w:lvl w:ilvl="2" w:tplc="0428E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9843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B02F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EE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67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8DD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725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44C3B"/>
    <w:multiLevelType w:val="hybridMultilevel"/>
    <w:tmpl w:val="765AEBD4"/>
    <w:lvl w:ilvl="0" w:tplc="C98CA3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169B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D6E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D6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477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C4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210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22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A9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74171"/>
    <w:multiLevelType w:val="hybridMultilevel"/>
    <w:tmpl w:val="898C2C2E"/>
    <w:lvl w:ilvl="0" w:tplc="28AA7F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204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562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E27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E43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761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96F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04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87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07562"/>
    <w:multiLevelType w:val="hybridMultilevel"/>
    <w:tmpl w:val="11E60C14"/>
    <w:lvl w:ilvl="0" w:tplc="CF5C84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81D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E2E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C33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48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6E2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092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6B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CC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60060"/>
    <w:multiLevelType w:val="hybridMultilevel"/>
    <w:tmpl w:val="36DE5BA8"/>
    <w:lvl w:ilvl="0" w:tplc="BA2CB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AA52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6A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ACA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4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0EE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65E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A8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2C3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D3302"/>
    <w:multiLevelType w:val="hybridMultilevel"/>
    <w:tmpl w:val="21668750"/>
    <w:lvl w:ilvl="0" w:tplc="A350A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C8D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C6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C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8E9A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0CE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02E5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BC4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A6F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E7169"/>
    <w:multiLevelType w:val="hybridMultilevel"/>
    <w:tmpl w:val="4446C502"/>
    <w:lvl w:ilvl="0" w:tplc="7F6CE1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EE5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01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8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C7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453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46E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04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631FE"/>
    <w:multiLevelType w:val="hybridMultilevel"/>
    <w:tmpl w:val="392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7B"/>
    <w:rsid w:val="000655FD"/>
    <w:rsid w:val="001A37F4"/>
    <w:rsid w:val="001A64AF"/>
    <w:rsid w:val="001C45F2"/>
    <w:rsid w:val="0021441A"/>
    <w:rsid w:val="0034357B"/>
    <w:rsid w:val="00352434"/>
    <w:rsid w:val="003F2D28"/>
    <w:rsid w:val="0040176B"/>
    <w:rsid w:val="0041304A"/>
    <w:rsid w:val="00457958"/>
    <w:rsid w:val="00504AAD"/>
    <w:rsid w:val="00540AFB"/>
    <w:rsid w:val="005823AC"/>
    <w:rsid w:val="005A3C02"/>
    <w:rsid w:val="005A47BC"/>
    <w:rsid w:val="005B5DE4"/>
    <w:rsid w:val="005D7A6D"/>
    <w:rsid w:val="005F003E"/>
    <w:rsid w:val="00605B05"/>
    <w:rsid w:val="00615110"/>
    <w:rsid w:val="006F20BE"/>
    <w:rsid w:val="007219BE"/>
    <w:rsid w:val="00732C0A"/>
    <w:rsid w:val="00734595"/>
    <w:rsid w:val="0075798E"/>
    <w:rsid w:val="00784BE7"/>
    <w:rsid w:val="00850937"/>
    <w:rsid w:val="0087192A"/>
    <w:rsid w:val="008D28D3"/>
    <w:rsid w:val="008D35B1"/>
    <w:rsid w:val="00904D58"/>
    <w:rsid w:val="00976597"/>
    <w:rsid w:val="00977F28"/>
    <w:rsid w:val="009D57A6"/>
    <w:rsid w:val="009E6AFA"/>
    <w:rsid w:val="00A06368"/>
    <w:rsid w:val="00A1183D"/>
    <w:rsid w:val="00A67F96"/>
    <w:rsid w:val="00AC4B1D"/>
    <w:rsid w:val="00AE1414"/>
    <w:rsid w:val="00B365AA"/>
    <w:rsid w:val="00B75162"/>
    <w:rsid w:val="00B77174"/>
    <w:rsid w:val="00BF49F9"/>
    <w:rsid w:val="00C04C3C"/>
    <w:rsid w:val="00C076F4"/>
    <w:rsid w:val="00C44E60"/>
    <w:rsid w:val="00C631CA"/>
    <w:rsid w:val="00C8135F"/>
    <w:rsid w:val="00CB37AC"/>
    <w:rsid w:val="00CB687B"/>
    <w:rsid w:val="00D3045E"/>
    <w:rsid w:val="00D520FF"/>
    <w:rsid w:val="00DD295B"/>
    <w:rsid w:val="00E077B9"/>
    <w:rsid w:val="00ED4BBF"/>
    <w:rsid w:val="00F12F72"/>
    <w:rsid w:val="00F66190"/>
    <w:rsid w:val="00FA21F0"/>
    <w:rsid w:val="00FA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4C26"/>
  <w15:chartTrackingRefBased/>
  <w15:docId w15:val="{2F6D764C-50E6-3343-970C-0903A5E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34357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" w:hAnsi="Arial" w:cs="Arial"/>
      <w:b/>
      <w:color w:val="000000" w:themeColor="text1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4357B"/>
    <w:rPr>
      <w:rFonts w:ascii="Arial" w:hAnsi="Arial" w:cs="Arial"/>
      <w:b/>
      <w:color w:val="000000" w:themeColor="tex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A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29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7009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40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39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24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23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0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24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06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05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49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42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6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628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148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95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37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13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8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37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619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40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185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73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083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86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78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575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192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584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211">
          <w:marLeft w:val="108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247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4433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011FCE966FF46AC9D8526168BB092" ma:contentTypeVersion="12" ma:contentTypeDescription="Create a new document." ma:contentTypeScope="" ma:versionID="ad3d86381edbdd60f94bac0feaa10e92">
  <xsd:schema xmlns:xsd="http://www.w3.org/2001/XMLSchema" xmlns:xs="http://www.w3.org/2001/XMLSchema" xmlns:p="http://schemas.microsoft.com/office/2006/metadata/properties" xmlns:ns2="1597a5b1-1a9e-494c-97e8-d8a4ce941d9a" xmlns:ns3="4ee752db-4b3f-4e9a-a84b-7635a59403ce" targetNamespace="http://schemas.microsoft.com/office/2006/metadata/properties" ma:root="true" ma:fieldsID="1d1bf971a3cc1fda11c7e8fcdc66735e" ns2:_="" ns3:_="">
    <xsd:import namespace="1597a5b1-1a9e-494c-97e8-d8a4ce941d9a"/>
    <xsd:import namespace="4ee752db-4b3f-4e9a-a84b-7635a5940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7a5b1-1a9e-494c-97e8-d8a4ce941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752db-4b3f-4e9a-a84b-7635a594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A7CC3-0F75-484F-A4F3-0BA020D2FF29}"/>
</file>

<file path=customXml/itemProps2.xml><?xml version="1.0" encoding="utf-8"?>
<ds:datastoreItem xmlns:ds="http://schemas.openxmlformats.org/officeDocument/2006/customXml" ds:itemID="{C9B56C85-E359-4D84-89BF-BBE0E3409640}"/>
</file>

<file path=customXml/itemProps3.xml><?xml version="1.0" encoding="utf-8"?>
<ds:datastoreItem xmlns:ds="http://schemas.openxmlformats.org/officeDocument/2006/customXml" ds:itemID="{99336D51-D548-49F2-8160-3F75C95A4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Kenter</dc:creator>
  <cp:keywords/>
  <dc:description/>
  <cp:lastModifiedBy>Bill Ferreira</cp:lastModifiedBy>
  <cp:revision>4</cp:revision>
  <cp:lastPrinted>2020-01-31T15:01:00Z</cp:lastPrinted>
  <dcterms:created xsi:type="dcterms:W3CDTF">2020-01-31T15:01:00Z</dcterms:created>
  <dcterms:modified xsi:type="dcterms:W3CDTF">2020-01-31T16:43:00Z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0x010100CD6011FCE966FF46AC9D8526168BB092</vt:lpwstr>
  </property>
</Properties>
</file>